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53E03477" w:rsidR="00090BFC" w:rsidRDefault="00090BFC" w:rsidP="00090BFC">
      <w:pPr>
        <w:spacing w:after="80" w:line="240" w:lineRule="auto"/>
        <w:rPr>
          <w:rFonts w:ascii="Arial" w:eastAsia="Times New Roman" w:hAnsi="Arial" w:cs="Arial"/>
          <w:b/>
          <w:bCs/>
          <w:color w:val="000000"/>
          <w:shd w:val="clear" w:color="auto" w:fill="FFFFFF"/>
        </w:rPr>
      </w:pPr>
      <w:r w:rsidRPr="00F52297">
        <w:rPr>
          <w:rFonts w:ascii="Arial" w:eastAsia="Times New Roman" w:hAnsi="Arial" w:cs="Arial"/>
          <w:b/>
          <w:bCs/>
          <w:color w:val="000000"/>
          <w:shd w:val="clear" w:color="auto" w:fill="FFFFFF"/>
        </w:rPr>
        <w:t>Job Title: </w:t>
      </w:r>
    </w:p>
    <w:p w14:paraId="324837F1" w14:textId="77777777" w:rsidR="008F4E66" w:rsidRDefault="008F4E66" w:rsidP="00090BFC">
      <w:pPr>
        <w:spacing w:after="80" w:line="240" w:lineRule="auto"/>
        <w:rPr>
          <w:rFonts w:ascii="Arial" w:eastAsia="Times New Roman" w:hAnsi="Arial" w:cs="Arial"/>
          <w:b/>
          <w:bCs/>
          <w:color w:val="000000"/>
          <w:shd w:val="clear" w:color="auto" w:fill="FFFFFF"/>
        </w:rPr>
      </w:pPr>
    </w:p>
    <w:p w14:paraId="53DB272A" w14:textId="77777777" w:rsidR="00194D20" w:rsidRDefault="00194D20" w:rsidP="00194D20">
      <w:pPr>
        <w:spacing w:after="80"/>
        <w:rPr>
          <w:rFonts w:ascii="Arial" w:hAnsi="Arial" w:cs="Arial"/>
          <w:b/>
          <w:bCs/>
          <w:color w:val="000000"/>
          <w:shd w:val="clear" w:color="auto" w:fill="FFFFFF"/>
        </w:rPr>
      </w:pPr>
      <w:r>
        <w:rPr>
          <w:rFonts w:ascii="Arial" w:hAnsi="Arial" w:cs="Arial"/>
          <w:b/>
          <w:bCs/>
          <w:color w:val="000000"/>
          <w:shd w:val="clear" w:color="auto" w:fill="FFFFFF"/>
        </w:rPr>
        <w:t xml:space="preserve">This is a Temporary position limited to no more than 9-months.  </w:t>
      </w:r>
      <w:r>
        <w:rPr>
          <w:rFonts w:ascii="Arial" w:hAnsi="Arial" w:cs="Arial"/>
          <w:b/>
          <w:bCs/>
          <w:color w:val="000000"/>
          <w:highlight w:val="yellow"/>
          <w:shd w:val="clear" w:color="auto" w:fill="FFFFFF"/>
        </w:rPr>
        <w:t>-or-</w:t>
      </w:r>
    </w:p>
    <w:p w14:paraId="197A5292" w14:textId="77777777" w:rsidR="00194D20" w:rsidRDefault="00194D20" w:rsidP="00194D20">
      <w:pPr>
        <w:spacing w:after="80"/>
        <w:rPr>
          <w:rFonts w:ascii="Arial" w:hAnsi="Arial" w:cs="Arial"/>
          <w:b/>
          <w:bCs/>
          <w:color w:val="000000"/>
          <w:shd w:val="clear" w:color="auto" w:fill="FFFFFF"/>
          <w14:ligatures w14:val="standardContextual"/>
        </w:rPr>
      </w:pPr>
      <w:r>
        <w:rPr>
          <w:rFonts w:ascii="Arial" w:hAnsi="Arial" w:cs="Arial"/>
          <w:b/>
          <w:bCs/>
          <w:color w:val="000000"/>
          <w:shd w:val="clear" w:color="auto" w:fill="FFFFFF"/>
        </w:rPr>
        <w:t xml:space="preserve">This is a Temporary Classified position limited to no more than 9-months. </w:t>
      </w:r>
      <w:r>
        <w:rPr>
          <w:rFonts w:ascii="Arial" w:hAnsi="Arial" w:cs="Arial"/>
          <w:b/>
          <w:bCs/>
          <w:color w:val="000000"/>
          <w:highlight w:val="yellow"/>
          <w:shd w:val="clear" w:color="auto" w:fill="FFFFFF"/>
        </w:rPr>
        <w:t>-or-</w:t>
      </w:r>
    </w:p>
    <w:p w14:paraId="04BE7C7D" w14:textId="77777777" w:rsidR="00194D20" w:rsidRDefault="00194D20" w:rsidP="00194D20">
      <w:pPr>
        <w:spacing w:after="80"/>
        <w:rPr>
          <w:rFonts w:ascii="Arial" w:hAnsi="Arial" w:cs="Arial"/>
          <w:b/>
          <w:bCs/>
          <w:color w:val="000000"/>
          <w:shd w:val="clear" w:color="auto" w:fill="FFFFFF"/>
        </w:rPr>
      </w:pPr>
      <w:r>
        <w:rPr>
          <w:rFonts w:ascii="Arial" w:hAnsi="Arial" w:cs="Arial"/>
          <w:b/>
          <w:bCs/>
          <w:color w:val="000000"/>
          <w:shd w:val="clear" w:color="auto" w:fill="FFFFFF"/>
        </w:rPr>
        <w:t xml:space="preserve">This is a Temporary position limited to no more than 12-months. This position is part-time and limited to no more than an average of 30 hours a week in a twelve-month period. </w:t>
      </w:r>
    </w:p>
    <w:p w14:paraId="439E1E5B" w14:textId="02B69F0E" w:rsidR="00514D58" w:rsidRDefault="00514D58" w:rsidP="00090BFC"/>
    <w:tbl>
      <w:tblPr>
        <w:tblStyle w:val="a"/>
        <w:tblW w:w="10710" w:type="dxa"/>
        <w:tblLayout w:type="fixed"/>
        <w:tblLook w:val="0400" w:firstRow="0" w:lastRow="0" w:firstColumn="0" w:lastColumn="0" w:noHBand="0" w:noVBand="1"/>
      </w:tblPr>
      <w:tblGrid>
        <w:gridCol w:w="2250"/>
        <w:gridCol w:w="105"/>
        <w:gridCol w:w="8355"/>
      </w:tblGrid>
      <w:tr w:rsidR="0049591D" w14:paraId="1FC4F254" w14:textId="77777777">
        <w:tc>
          <w:tcPr>
            <w:tcW w:w="2355" w:type="dxa"/>
            <w:gridSpan w:val="2"/>
          </w:tcPr>
          <w:p w14:paraId="11D9F5D4" w14:textId="15B35CD8" w:rsidR="0049591D" w:rsidRPr="008F516F" w:rsidRDefault="003D1591" w:rsidP="0049591D">
            <w:pPr>
              <w:spacing w:line="240" w:lineRule="auto"/>
              <w:rPr>
                <w:rFonts w:ascii="Arial" w:hAnsi="Arial" w:cs="Arial"/>
                <w:b/>
                <w:sz w:val="24"/>
                <w:szCs w:val="24"/>
              </w:rPr>
            </w:pPr>
            <w:r w:rsidRPr="008F516F">
              <w:rPr>
                <w:rFonts w:ascii="Arial" w:hAnsi="Arial" w:cs="Arial"/>
                <w:b/>
                <w:bCs/>
                <w:sz w:val="24"/>
                <w:szCs w:val="24"/>
              </w:rPr>
              <w:t>Job Summary:</w:t>
            </w:r>
          </w:p>
        </w:tc>
        <w:tc>
          <w:tcPr>
            <w:tcW w:w="8355" w:type="dxa"/>
            <w:tcMar>
              <w:left w:w="144" w:type="dxa"/>
            </w:tcMar>
          </w:tcPr>
          <w:p w14:paraId="1B340475" w14:textId="77777777" w:rsidR="0065382E" w:rsidRPr="00906215" w:rsidRDefault="0065382E" w:rsidP="0065382E">
            <w:pPr>
              <w:rPr>
                <w:rFonts w:ascii="Arial" w:eastAsia="Times New Roman" w:hAnsi="Arial" w:cs="Arial"/>
              </w:rPr>
            </w:pPr>
            <w:r w:rsidRPr="00906215">
              <w:rPr>
                <w:rFonts w:ascii="Arial" w:eastAsia="Times New Roman" w:hAnsi="Arial"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359BBFCA" w14:textId="77777777" w:rsidR="0065382E" w:rsidRPr="00906215" w:rsidRDefault="0065382E" w:rsidP="0065382E">
            <w:pPr>
              <w:rPr>
                <w:rFonts w:ascii="Arial" w:eastAsia="Times New Roman" w:hAnsi="Arial" w:cs="Arial"/>
              </w:rPr>
            </w:pPr>
            <w:r w:rsidRPr="00906215">
              <w:rPr>
                <w:rFonts w:ascii="Arial" w:eastAsia="Times New Roman" w:hAnsi="Arial" w:cs="Arial"/>
              </w:rPr>
              <w:t>Highlight 5-7 key responsibilities for the role.</w:t>
            </w:r>
          </w:p>
          <w:p w14:paraId="38CAF23D" w14:textId="1D7D8F02" w:rsidR="0065382E" w:rsidRDefault="0065382E" w:rsidP="0065382E">
            <w:pPr>
              <w:rPr>
                <w:rFonts w:ascii="Arial" w:eastAsia="Times New Roman" w:hAnsi="Arial" w:cs="Arial"/>
                <w:u w:val="single"/>
              </w:rPr>
            </w:pPr>
            <w:r w:rsidRPr="00906215">
              <w:rPr>
                <w:rFonts w:ascii="Arial" w:eastAsia="Times New Roman" w:hAnsi="Arial" w:cs="Arial"/>
                <w:u w:val="single"/>
              </w:rPr>
              <w:t>Key Responsibilities:</w:t>
            </w:r>
          </w:p>
          <w:p w14:paraId="6A518867" w14:textId="77777777" w:rsidR="0065382E" w:rsidRPr="0065382E" w:rsidRDefault="0065382E" w:rsidP="0065382E">
            <w:pPr>
              <w:pStyle w:val="ListParagraph"/>
              <w:numPr>
                <w:ilvl w:val="0"/>
                <w:numId w:val="8"/>
              </w:numPr>
              <w:rPr>
                <w:u w:val="single"/>
              </w:rPr>
            </w:pPr>
          </w:p>
          <w:p w14:paraId="4BEEB5E5" w14:textId="5D74EA10" w:rsidR="0049591D" w:rsidRPr="00B27000" w:rsidRDefault="0049591D" w:rsidP="0049591D"/>
        </w:tc>
      </w:tr>
      <w:tr w:rsidR="00BA0D3D" w14:paraId="53A4D136" w14:textId="77777777">
        <w:tc>
          <w:tcPr>
            <w:tcW w:w="2355" w:type="dxa"/>
            <w:gridSpan w:val="2"/>
          </w:tcPr>
          <w:p w14:paraId="5B8E627F" w14:textId="14939850" w:rsidR="00BA0D3D" w:rsidRPr="008F516F" w:rsidRDefault="00BA0D3D" w:rsidP="00BA0D3D">
            <w:pPr>
              <w:spacing w:line="240" w:lineRule="auto"/>
              <w:rPr>
                <w:rFonts w:ascii="Arial" w:hAnsi="Arial" w:cs="Arial"/>
                <w:b/>
                <w:bCs/>
                <w:sz w:val="24"/>
                <w:szCs w:val="24"/>
              </w:rPr>
            </w:pPr>
            <w:r>
              <w:rPr>
                <w:rFonts w:ascii="Arial" w:hAnsi="Arial" w:cs="Arial"/>
                <w:b/>
                <w:bCs/>
                <w:sz w:val="24"/>
                <w:szCs w:val="24"/>
              </w:rPr>
              <w:t>Work Location:</w:t>
            </w:r>
          </w:p>
        </w:tc>
        <w:tc>
          <w:tcPr>
            <w:tcW w:w="8355" w:type="dxa"/>
            <w:tcMar>
              <w:left w:w="144" w:type="dxa"/>
            </w:tcMar>
          </w:tcPr>
          <w:p w14:paraId="7D46F712" w14:textId="77777777" w:rsidR="00BA0D3D" w:rsidRDefault="00BA0D3D" w:rsidP="00BA0D3D">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xml:space="preserve">- this role is expected to work onsite and </w:t>
            </w:r>
            <w:proofErr w:type="gramStart"/>
            <w:r>
              <w:rPr>
                <w:rFonts w:ascii="Arial" w:eastAsia="Times New Roman" w:hAnsi="Arial" w:cs="Arial"/>
              </w:rPr>
              <w:t>is located in</w:t>
            </w:r>
            <w:proofErr w:type="gramEnd"/>
            <w:r>
              <w:rPr>
                <w:rFonts w:ascii="Arial" w:eastAsia="Times New Roman" w:hAnsi="Arial" w:cs="Arial"/>
              </w:rPr>
              <w:t xml:space="preserve"> </w:t>
            </w:r>
            <w:proofErr w:type="gramStart"/>
            <w:r>
              <w:rPr>
                <w:rFonts w:ascii="Arial" w:eastAsia="Times New Roman" w:hAnsi="Arial" w:cs="Arial"/>
              </w:rPr>
              <w:t>City,</w:t>
            </w:r>
            <w:proofErr w:type="gramEnd"/>
            <w:r>
              <w:rPr>
                <w:rFonts w:ascii="Arial" w:eastAsia="Times New Roman" w:hAnsi="Arial" w:cs="Arial"/>
              </w:rPr>
              <w:t xml:space="preserve"> State.</w:t>
            </w:r>
          </w:p>
          <w:p w14:paraId="26816EB8" w14:textId="77777777" w:rsidR="00BA0D3D" w:rsidRDefault="00BA0D3D" w:rsidP="00BA0D3D">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00659229" w14:textId="4E814203" w:rsidR="00BA0D3D" w:rsidRPr="002D45E4" w:rsidRDefault="00BA0D3D" w:rsidP="00BA0D3D">
            <w:pPr>
              <w:rPr>
                <w:rFonts w:ascii="Arial" w:eastAsia="Times New Roman" w:hAnsi="Arial" w:cs="Arial"/>
              </w:rPr>
            </w:pPr>
            <w:r w:rsidRPr="00481CD8">
              <w:rPr>
                <w:rFonts w:ascii="Arial" w:eastAsia="Times New Roman" w:hAnsi="Arial" w:cs="Arial"/>
                <w:u w:val="single"/>
              </w:rPr>
              <w:t>Remote</w:t>
            </w:r>
            <w:r>
              <w:rPr>
                <w:rFonts w:ascii="Arial" w:eastAsia="Times New Roman" w:hAnsi="Arial" w:cs="Arial"/>
              </w:rPr>
              <w:t xml:space="preserve"> – this role is eligible to work remotely, but the employee must be in the United States.</w:t>
            </w:r>
          </w:p>
        </w:tc>
      </w:tr>
      <w:tr w:rsidR="00BA0D3D" w14:paraId="57E37D8E" w14:textId="77777777">
        <w:tc>
          <w:tcPr>
            <w:tcW w:w="2355" w:type="dxa"/>
            <w:gridSpan w:val="2"/>
          </w:tcPr>
          <w:p w14:paraId="55549AFB" w14:textId="67A7CF35"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29CA7B28" w14:textId="26496B1E" w:rsidR="00BA0D3D" w:rsidRPr="00ED058E" w:rsidRDefault="00BA0D3D" w:rsidP="00ED058E">
            <w:pPr>
              <w:rPr>
                <w:rFonts w:ascii="Arial" w:hAnsi="Arial" w:cs="Arial"/>
                <w:highlight w:val="yellow"/>
              </w:rPr>
            </w:pPr>
            <w:r w:rsidRPr="00ED058E">
              <w:rPr>
                <w:rFonts w:ascii="Arial" w:hAnsi="Arial" w:cs="Arial"/>
                <w:highlight w:val="yellow"/>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tc>
      </w:tr>
      <w:tr w:rsidR="00BA0D3D" w14:paraId="4D0E68CA" w14:textId="77777777">
        <w:tc>
          <w:tcPr>
            <w:tcW w:w="2355" w:type="dxa"/>
            <w:gridSpan w:val="2"/>
          </w:tcPr>
          <w:p w14:paraId="619135B7" w14:textId="37DEFBF7" w:rsidR="00BA0D3D" w:rsidRPr="008F516F" w:rsidRDefault="00BA0D3D" w:rsidP="00BA0D3D">
            <w:pPr>
              <w:spacing w:line="240" w:lineRule="auto"/>
              <w:rPr>
                <w:b/>
                <w:sz w:val="24"/>
                <w:szCs w:val="24"/>
              </w:rPr>
            </w:pPr>
            <w:r w:rsidRPr="008F516F">
              <w:rPr>
                <w:rFonts w:ascii="Arial" w:hAnsi="Arial" w:cs="Arial"/>
                <w:b/>
                <w:bCs/>
                <w:sz w:val="24"/>
                <w:szCs w:val="24"/>
              </w:rPr>
              <w:t>Diversity and Equity:</w:t>
            </w:r>
          </w:p>
        </w:tc>
        <w:tc>
          <w:tcPr>
            <w:tcW w:w="8355" w:type="dxa"/>
            <w:tcMar>
              <w:left w:w="144" w:type="dxa"/>
            </w:tcMar>
          </w:tcPr>
          <w:p w14:paraId="1AC685F9" w14:textId="2C82C2CB" w:rsidR="00BA0D3D" w:rsidRPr="008F516F" w:rsidRDefault="00E73C43" w:rsidP="00BA0D3D">
            <w:pPr>
              <w:rPr>
                <w:rFonts w:ascii="Arial" w:hAnsi="Arial" w:cs="Arial"/>
              </w:rPr>
            </w:pPr>
            <w:r w:rsidRPr="005B67B0">
              <w:rPr>
                <w:rFonts w:ascii="Arial" w:hAnsi="Arial" w:cs="Arial"/>
              </w:rPr>
              <w:t xml:space="preserve">The University of Colorado Anschutz Medical Campus is committed to recruiting and supporting a diverse student body, faculty and administrative staff. The university strives to promote a culture of inclusiveness, respect, communication and understanding. We encourage applications from women, ethnically minoritized individuals, persons with disabilities, </w:t>
            </w:r>
            <w:r w:rsidRPr="005B67B0">
              <w:rPr>
                <w:rFonts w:ascii="Arial" w:hAnsi="Arial" w:cs="Arial"/>
                <w:color w:val="000000"/>
              </w:rPr>
              <w:t>persons within the LGBTQ+ community</w:t>
            </w:r>
            <w:r w:rsidRPr="005B67B0">
              <w:rPr>
                <w:rFonts w:ascii="Arial" w:hAnsi="Arial" w:cs="Arial"/>
              </w:rPr>
              <w:t xml:space="preserve"> and all veterans. In addition, the Anschutz Campus has also been recognized as an Age-Friendly University. The University of Colorado is committed to diversity and equality in education and </w:t>
            </w:r>
            <w:proofErr w:type="gramStart"/>
            <w:r w:rsidRPr="005B67B0">
              <w:rPr>
                <w:rFonts w:ascii="Arial" w:hAnsi="Arial" w:cs="Arial"/>
              </w:rPr>
              <w:t>employment.</w:t>
            </w:r>
            <w:r w:rsidR="00BA0D3D" w:rsidRPr="00881EB9">
              <w:rPr>
                <w:rFonts w:ascii="Arial" w:hAnsi="Arial" w:cs="Arial"/>
              </w:rPr>
              <w:t>.</w:t>
            </w:r>
            <w:proofErr w:type="gramEnd"/>
          </w:p>
        </w:tc>
      </w:tr>
      <w:tr w:rsidR="00BA0D3D" w14:paraId="7F975F5B" w14:textId="77777777">
        <w:tc>
          <w:tcPr>
            <w:tcW w:w="2355" w:type="dxa"/>
            <w:gridSpan w:val="2"/>
          </w:tcPr>
          <w:p w14:paraId="3CD6E43A" w14:textId="653A688E"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Qualifications:</w:t>
            </w:r>
          </w:p>
        </w:tc>
        <w:tc>
          <w:tcPr>
            <w:tcW w:w="8355" w:type="dxa"/>
            <w:tcMar>
              <w:left w:w="144" w:type="dxa"/>
            </w:tcMar>
          </w:tcPr>
          <w:p w14:paraId="7868C4C8" w14:textId="3F31CE2F" w:rsidR="00BA0D3D" w:rsidRDefault="00BA0D3D" w:rsidP="00BA0D3D">
            <w:pPr>
              <w:spacing w:after="0" w:line="240" w:lineRule="auto"/>
              <w:rPr>
                <w:rFonts w:ascii="Arial" w:hAnsi="Arial" w:cs="Arial"/>
                <w:b/>
              </w:rPr>
            </w:pPr>
            <w:r w:rsidRPr="00FB5535">
              <w:rPr>
                <w:rFonts w:ascii="Arial" w:hAnsi="Arial" w:cs="Arial"/>
                <w:b/>
              </w:rPr>
              <w:t>Minimum Qualifications:</w:t>
            </w:r>
          </w:p>
          <w:p w14:paraId="74BFA7F4" w14:textId="779B4308" w:rsidR="00BA0D3D" w:rsidRDefault="00BA0D3D" w:rsidP="00BA0D3D">
            <w:pPr>
              <w:spacing w:after="0" w:line="240" w:lineRule="auto"/>
              <w:rPr>
                <w:rFonts w:ascii="Arial" w:hAnsi="Arial" w:cs="Arial"/>
                <w:b/>
              </w:rPr>
            </w:pPr>
          </w:p>
          <w:p w14:paraId="127796EC" w14:textId="77777777" w:rsidR="00BA0D3D" w:rsidRDefault="00BA0D3D" w:rsidP="00BA0D3D">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BA0D3D" w:rsidRDefault="00BA0D3D" w:rsidP="00BA0D3D">
            <w:pPr>
              <w:spacing w:after="0" w:line="240" w:lineRule="auto"/>
              <w:rPr>
                <w:rFonts w:ascii="Arial" w:hAnsi="Arial" w:cs="Arial"/>
                <w:b/>
              </w:rPr>
            </w:pPr>
          </w:p>
          <w:p w14:paraId="15C0D882" w14:textId="223EC1E7" w:rsidR="00BA0D3D" w:rsidRDefault="00BA0D3D" w:rsidP="00BA0D3D">
            <w:pPr>
              <w:spacing w:after="0" w:line="240" w:lineRule="auto"/>
              <w:rPr>
                <w:rFonts w:ascii="Arial" w:hAnsi="Arial" w:cs="Arial"/>
                <w:color w:val="000000"/>
                <w:shd w:val="clear" w:color="auto" w:fill="FFFFFF"/>
              </w:rPr>
            </w:pPr>
          </w:p>
          <w:p w14:paraId="0484908F" w14:textId="77777777" w:rsidR="00BA0D3D" w:rsidRPr="000C715E" w:rsidRDefault="00BA0D3D" w:rsidP="00BA0D3D">
            <w:pPr>
              <w:spacing w:after="0" w:line="240" w:lineRule="auto"/>
              <w:rPr>
                <w:rFonts w:ascii="Arial" w:hAnsi="Arial" w:cs="Arial"/>
                <w:b/>
              </w:rPr>
            </w:pPr>
          </w:p>
          <w:p w14:paraId="569F9D1B" w14:textId="25810702" w:rsidR="00BA0D3D" w:rsidRPr="00FB5535" w:rsidRDefault="00BA0D3D" w:rsidP="00BA0D3D">
            <w:pPr>
              <w:spacing w:after="0" w:line="240" w:lineRule="auto"/>
              <w:rPr>
                <w:rFonts w:ascii="Arial" w:hAnsi="Arial" w:cs="Arial"/>
                <w:b/>
              </w:rPr>
            </w:pPr>
            <w:r w:rsidRPr="00FB5535">
              <w:rPr>
                <w:rFonts w:ascii="Arial" w:hAnsi="Arial" w:cs="Arial"/>
                <w:b/>
              </w:rPr>
              <w:t>Preferred Qualifications:</w:t>
            </w:r>
          </w:p>
          <w:p w14:paraId="445AEE0C" w14:textId="132DD904" w:rsidR="00BA0D3D" w:rsidRPr="00C82005" w:rsidRDefault="00BA0D3D" w:rsidP="00BA0D3D">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BA0D3D" w:rsidRPr="00FB5535" w:rsidRDefault="00BA0D3D" w:rsidP="00BA0D3D">
            <w:pPr>
              <w:pBdr>
                <w:top w:val="nil"/>
                <w:left w:val="nil"/>
                <w:bottom w:val="nil"/>
                <w:right w:val="nil"/>
                <w:between w:val="nil"/>
              </w:pBdr>
              <w:spacing w:after="0" w:line="240" w:lineRule="auto"/>
              <w:ind w:left="720"/>
              <w:rPr>
                <w:rFonts w:ascii="Arial" w:hAnsi="Arial" w:cs="Arial"/>
                <w:b/>
                <w:color w:val="000000"/>
              </w:rPr>
            </w:pPr>
          </w:p>
          <w:p w14:paraId="6F6B2902" w14:textId="77777777" w:rsidR="00BA0D3D" w:rsidRPr="00FB5535" w:rsidRDefault="00BA0D3D" w:rsidP="00BA0D3D">
            <w:pPr>
              <w:spacing w:after="0" w:line="240" w:lineRule="auto"/>
              <w:rPr>
                <w:rFonts w:ascii="Arial" w:hAnsi="Arial" w:cs="Arial"/>
                <w:b/>
              </w:rPr>
            </w:pPr>
            <w:r w:rsidRPr="00FB5535">
              <w:rPr>
                <w:rFonts w:ascii="Arial" w:hAnsi="Arial" w:cs="Arial"/>
                <w:b/>
              </w:rPr>
              <w:t>Knowledge, Skills and Abilities:</w:t>
            </w:r>
          </w:p>
          <w:p w14:paraId="588F7950" w14:textId="77777777" w:rsidR="00BA0D3D" w:rsidRDefault="00BA0D3D" w:rsidP="00BA0D3D">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BA0D3D" w:rsidRPr="00300535" w:rsidRDefault="00BA0D3D" w:rsidP="00BA0D3D">
            <w:pPr>
              <w:pStyle w:val="ListParagraph"/>
              <w:shd w:val="clear" w:color="auto" w:fill="FFFFFF"/>
              <w:ind w:left="720"/>
              <w:textAlignment w:val="baseline"/>
              <w:rPr>
                <w:rFonts w:ascii="Ebrima" w:hAnsi="Ebrima"/>
              </w:rPr>
            </w:pPr>
          </w:p>
        </w:tc>
      </w:tr>
      <w:tr w:rsidR="00BA0D3D" w14:paraId="31E0E6F3" w14:textId="77777777">
        <w:tc>
          <w:tcPr>
            <w:tcW w:w="2355" w:type="dxa"/>
            <w:gridSpan w:val="2"/>
          </w:tcPr>
          <w:p w14:paraId="6D32207D" w14:textId="77777777"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lastRenderedPageBreak/>
              <w:t>How to Apply:</w:t>
            </w:r>
          </w:p>
        </w:tc>
        <w:tc>
          <w:tcPr>
            <w:tcW w:w="8355" w:type="dxa"/>
            <w:tcMar>
              <w:left w:w="144" w:type="dxa"/>
            </w:tcMar>
          </w:tcPr>
          <w:p w14:paraId="467F1B4A" w14:textId="71737AB0" w:rsidR="00BA0D3D" w:rsidRPr="004B4E86"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2C106FC4" w14:textId="77777777" w:rsidR="00BA0D3D" w:rsidRPr="00EE132D" w:rsidRDefault="00BA0D3D" w:rsidP="00BA0D3D">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8" w:history="1">
              <w:r w:rsidRPr="00EE132D">
                <w:rPr>
                  <w:rStyle w:val="Hyperlink"/>
                  <w:rFonts w:ascii="Arial" w:hAnsi="Arial" w:cs="Arial"/>
                </w:rPr>
                <w:t>www.cu.edu/cu-careers</w:t>
              </w:r>
            </w:hyperlink>
            <w:r w:rsidRPr="00EE132D">
              <w:rPr>
                <w:rFonts w:ascii="Arial" w:hAnsi="Arial" w:cs="Arial"/>
              </w:rPr>
              <w:t xml:space="preserve">. </w:t>
            </w:r>
          </w:p>
          <w:p w14:paraId="38648734" w14:textId="524E7772" w:rsidR="00BA0D3D"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sidRPr="00967039">
              <w:rPr>
                <w:rFonts w:ascii="Arial" w:eastAsia="Times New Roman" w:hAnsi="Arial" w:cs="Arial"/>
                <w:highlight w:val="yellow"/>
              </w:rPr>
              <w:t>NAME, Email address</w:t>
            </w:r>
          </w:p>
          <w:p w14:paraId="4848F4B7" w14:textId="6E61C8E2" w:rsidR="00BA0D3D" w:rsidRPr="004B4E86" w:rsidRDefault="00BA0D3D" w:rsidP="00BA0D3D">
            <w:pPr>
              <w:spacing w:before="100" w:beforeAutospacing="1" w:after="100" w:afterAutospacing="1" w:line="240" w:lineRule="auto"/>
              <w:rPr>
                <w:rFonts w:ascii="Arial" w:eastAsia="Times New Roman" w:hAnsi="Arial" w:cs="Arial"/>
              </w:rPr>
            </w:pPr>
          </w:p>
        </w:tc>
      </w:tr>
      <w:tr w:rsidR="00BA0D3D" w14:paraId="4F7E2260" w14:textId="77777777">
        <w:tc>
          <w:tcPr>
            <w:tcW w:w="2355" w:type="dxa"/>
            <w:gridSpan w:val="2"/>
          </w:tcPr>
          <w:p w14:paraId="1C08C348" w14:textId="77777777" w:rsidR="00BA0D3D" w:rsidRPr="004B4E86" w:rsidRDefault="00BA0D3D" w:rsidP="00BA0D3D">
            <w:pPr>
              <w:spacing w:line="240" w:lineRule="auto"/>
              <w:rPr>
                <w:rFonts w:ascii="Arial" w:hAnsi="Arial" w:cs="Arial"/>
                <w:sz w:val="24"/>
                <w:szCs w:val="24"/>
              </w:rPr>
            </w:pPr>
            <w:r w:rsidRPr="004B4E86">
              <w:rPr>
                <w:rFonts w:ascii="Arial" w:hAnsi="Arial" w:cs="Arial"/>
                <w:b/>
                <w:sz w:val="24"/>
                <w:szCs w:val="24"/>
              </w:rPr>
              <w:t>Screening of Applications Begins:</w:t>
            </w:r>
          </w:p>
        </w:tc>
        <w:tc>
          <w:tcPr>
            <w:tcW w:w="8355" w:type="dxa"/>
            <w:tcMar>
              <w:left w:w="144" w:type="dxa"/>
            </w:tcMar>
          </w:tcPr>
          <w:p w14:paraId="1E97A5FC" w14:textId="77777777" w:rsidR="00BA0D3D" w:rsidRPr="004B4E86" w:rsidRDefault="00BA0D3D" w:rsidP="00BA0D3D">
            <w:pPr>
              <w:rPr>
                <w:rFonts w:ascii="Arial" w:hAnsi="Arial" w:cs="Arial"/>
                <w:color w:val="000000"/>
              </w:rPr>
            </w:pPr>
            <w:r w:rsidRPr="004B4E86">
              <w:rPr>
                <w:rFonts w:ascii="Arial" w:hAnsi="Arial" w:cs="Arial"/>
                <w:color w:val="000000"/>
              </w:rPr>
              <w:t>Screening begins on (date).</w:t>
            </w:r>
          </w:p>
          <w:p w14:paraId="3AC7810D"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2AE94A9" w14:textId="77777777" w:rsidR="00BA0D3D" w:rsidRPr="004B4E86" w:rsidRDefault="00BA0D3D" w:rsidP="00BA0D3D">
            <w:pPr>
              <w:rPr>
                <w:rFonts w:ascii="Arial" w:hAnsi="Arial" w:cs="Arial"/>
                <w:color w:val="000000"/>
              </w:rPr>
            </w:pPr>
            <w:r w:rsidRPr="004B4E86">
              <w:rPr>
                <w:rFonts w:ascii="Arial" w:hAnsi="Arial" w:cs="Arial"/>
                <w:color w:val="000000"/>
              </w:rPr>
              <w:t>Immediately and continues until (date).</w:t>
            </w:r>
          </w:p>
          <w:p w14:paraId="4E89CF11"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7D99772" w14:textId="77777777" w:rsidR="00BA0D3D" w:rsidRDefault="00BA0D3D" w:rsidP="00BA0D3D">
            <w:pPr>
              <w:rPr>
                <w:rFonts w:ascii="Arial" w:hAnsi="Arial" w:cs="Arial"/>
                <w:color w:val="000000"/>
              </w:rPr>
            </w:pPr>
            <w:r w:rsidRPr="004B4E86">
              <w:rPr>
                <w:rFonts w:ascii="Arial" w:hAnsi="Arial" w:cs="Arial"/>
                <w:color w:val="000000"/>
              </w:rPr>
              <w:t xml:space="preserve">Immediately and </w:t>
            </w:r>
            <w:proofErr w:type="gramStart"/>
            <w:r w:rsidRPr="004B4E86">
              <w:rPr>
                <w:rFonts w:ascii="Arial" w:hAnsi="Arial" w:cs="Arial"/>
                <w:color w:val="000000"/>
              </w:rPr>
              <w:t>continues</w:t>
            </w:r>
            <w:proofErr w:type="gramEnd"/>
            <w:r w:rsidRPr="004B4E86">
              <w:rPr>
                <w:rFonts w:ascii="Arial" w:hAnsi="Arial" w:cs="Arial"/>
                <w:color w:val="000000"/>
              </w:rPr>
              <w:t xml:space="preserve"> until position is filled. For best consideration, apply by (date).</w:t>
            </w:r>
          </w:p>
          <w:p w14:paraId="1193A2D8" w14:textId="77777777" w:rsidR="00BA0D3D" w:rsidRDefault="00BA0D3D" w:rsidP="00BA0D3D">
            <w:pPr>
              <w:rPr>
                <w:rFonts w:ascii="Arial" w:hAnsi="Arial" w:cs="Arial"/>
                <w:color w:val="000000"/>
              </w:rPr>
            </w:pPr>
            <w:r>
              <w:rPr>
                <w:rFonts w:ascii="Arial" w:hAnsi="Arial" w:cs="Arial"/>
                <w:color w:val="000000"/>
              </w:rPr>
              <w:t>OR</w:t>
            </w:r>
          </w:p>
          <w:p w14:paraId="3B26830B" w14:textId="163BA529" w:rsidR="00BA0D3D" w:rsidRPr="004B4E86" w:rsidRDefault="00BA0D3D" w:rsidP="00ED058E">
            <w:pPr>
              <w:rPr>
                <w:rFonts w:ascii="Arial" w:hAnsi="Arial" w:cs="Arial"/>
                <w:color w:val="512888"/>
              </w:rPr>
            </w:pPr>
            <w:r w:rsidRPr="00B21318">
              <w:rPr>
                <w:rFonts w:ascii="Arial" w:eastAsia="Times New Roman" w:hAnsi="Arial" w:cs="Arial"/>
              </w:rPr>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tc>
      </w:tr>
      <w:tr w:rsidR="00BA0D3D" w14:paraId="3BC51D02" w14:textId="77777777" w:rsidTr="00D40DED">
        <w:tc>
          <w:tcPr>
            <w:tcW w:w="2250" w:type="dxa"/>
          </w:tcPr>
          <w:p w14:paraId="34F98D80" w14:textId="76464DEE"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460" w:type="dxa"/>
            <w:gridSpan w:val="2"/>
            <w:tcMar>
              <w:left w:w="144" w:type="dxa"/>
            </w:tcMar>
          </w:tcPr>
          <w:p w14:paraId="1D103D86" w14:textId="77777777" w:rsidR="00540EAB" w:rsidRDefault="00540EAB" w:rsidP="00540EAB">
            <w:pPr>
              <w:spacing w:before="100" w:beforeAutospacing="1" w:after="100" w:afterAutospacing="1" w:line="240" w:lineRule="auto"/>
              <w:rPr>
                <w:rFonts w:ascii="Arial" w:eastAsia="Times New Roman" w:hAnsi="Arial" w:cs="Arial"/>
                <w:color w:val="000000"/>
              </w:rPr>
            </w:pPr>
            <w:r w:rsidRPr="00EF0695">
              <w:rPr>
                <w:rFonts w:ascii="Arial" w:hAnsi="Arial" w:cs="Arial"/>
              </w:rPr>
              <w:t xml:space="preserve">The </w:t>
            </w:r>
            <w:r w:rsidRPr="00FA2A04">
              <w:rPr>
                <w:rFonts w:ascii="Arial" w:hAnsi="Arial" w:cs="Arial"/>
                <w:b/>
                <w:bCs/>
                <w:caps/>
              </w:rPr>
              <w:t>hiring rate</w:t>
            </w:r>
            <w:r w:rsidRPr="00EF0695">
              <w:rPr>
                <w:rFonts w:ascii="Arial" w:hAnsi="Arial" w:cs="Arial"/>
              </w:rPr>
              <w:t xml:space="preserve"> for this position has been established at $XX</w:t>
            </w:r>
            <w:r>
              <w:rPr>
                <w:rFonts w:ascii="Arial" w:hAnsi="Arial" w:cs="Arial"/>
              </w:rPr>
              <w:t>.XX / hour</w:t>
            </w:r>
            <w:r w:rsidRPr="00EF0695">
              <w:rPr>
                <w:rFonts w:ascii="Arial" w:hAnsi="Arial" w:cs="Arial"/>
              </w:rPr>
              <w:t>.  The above salary rate represents the University’s good faith and reasonable estimate of the rate at the time of posting.</w:t>
            </w:r>
          </w:p>
          <w:p w14:paraId="1314FCC6" w14:textId="77777777" w:rsidR="00540EAB" w:rsidRPr="00A26777" w:rsidRDefault="00540EAB" w:rsidP="00540EAB">
            <w:pPr>
              <w:spacing w:before="100" w:beforeAutospacing="1" w:after="100" w:afterAutospacing="1" w:line="240" w:lineRule="auto"/>
              <w:jc w:val="center"/>
              <w:rPr>
                <w:rFonts w:ascii="Arial" w:eastAsia="Times New Roman" w:hAnsi="Arial" w:cs="Arial"/>
                <w:color w:val="FF0000"/>
              </w:rPr>
            </w:pPr>
            <w:r>
              <w:rPr>
                <w:rFonts w:ascii="Arial" w:eastAsia="Times New Roman" w:hAnsi="Arial" w:cs="Arial"/>
                <w:color w:val="FF0000"/>
              </w:rPr>
              <w:t>------OR-----</w:t>
            </w:r>
          </w:p>
          <w:p w14:paraId="2731E929" w14:textId="77777777" w:rsidR="00540EAB" w:rsidRPr="00A91239" w:rsidRDefault="00540EAB" w:rsidP="00540EAB">
            <w:pPr>
              <w:rPr>
                <w:rFonts w:ascii="Arial" w:hAnsi="Arial" w:cs="Arial"/>
              </w:rPr>
            </w:pPr>
            <w:r w:rsidRPr="009440AA">
              <w:rPr>
                <w:rFonts w:ascii="Arial" w:eastAsia="Times New Roman" w:hAnsi="Arial" w:cs="Arial"/>
                <w:color w:val="000000"/>
              </w:rPr>
              <w:t>The</w:t>
            </w:r>
            <w:r w:rsidRPr="00A26777">
              <w:rPr>
                <w:rFonts w:ascii="Arial" w:eastAsia="Times New Roman" w:hAnsi="Arial" w:cs="Arial"/>
                <w:b/>
                <w:bCs/>
                <w:color w:val="000000"/>
              </w:rPr>
              <w:t xml:space="preserve"> </w:t>
            </w:r>
            <w:r w:rsidRPr="00A26777">
              <w:rPr>
                <w:rFonts w:ascii="Arial" w:eastAsia="Times New Roman" w:hAnsi="Arial" w:cs="Arial"/>
                <w:b/>
                <w:bCs/>
                <w:caps/>
                <w:color w:val="000000"/>
              </w:rPr>
              <w:t xml:space="preserve">hiring range </w:t>
            </w:r>
            <w:r w:rsidRPr="009440AA">
              <w:rPr>
                <w:rFonts w:ascii="Arial" w:eastAsia="Times New Roman" w:hAnsi="Arial" w:cs="Arial"/>
                <w:color w:val="000000"/>
              </w:rPr>
              <w:t>for this position has been established a</w:t>
            </w:r>
            <w:r>
              <w:rPr>
                <w:rFonts w:ascii="Arial" w:eastAsia="Times New Roman" w:hAnsi="Arial" w:cs="Arial"/>
                <w:color w:val="000000"/>
              </w:rPr>
              <w:t xml:space="preserve">t: </w:t>
            </w:r>
            <w:r w:rsidRPr="009440AA">
              <w:rPr>
                <w:rFonts w:ascii="Arial" w:hAnsi="Arial" w:cs="Arial"/>
              </w:rPr>
              <w:t>$XX</w:t>
            </w:r>
            <w:r>
              <w:rPr>
                <w:rFonts w:ascii="Arial" w:hAnsi="Arial" w:cs="Arial"/>
              </w:rPr>
              <w:t>.XX</w:t>
            </w:r>
            <w:r w:rsidRPr="009440AA">
              <w:rPr>
                <w:rFonts w:ascii="Arial" w:hAnsi="Arial" w:cs="Arial"/>
              </w:rPr>
              <w:t xml:space="preserve"> to $XX</w:t>
            </w:r>
            <w:r>
              <w:rPr>
                <w:rFonts w:ascii="Arial" w:hAnsi="Arial" w:cs="Arial"/>
              </w:rPr>
              <w:t xml:space="preserve">.XX / hour.  </w:t>
            </w:r>
            <w:r w:rsidRPr="009440AA">
              <w:rPr>
                <w:rFonts w:ascii="Arial" w:eastAsia="Times New Roman" w:hAnsi="Arial" w:cs="Arial"/>
              </w:rPr>
              <w:t xml:space="preserve">The above hiring range represents the University’s good faith and reasonable estimate of the range of possible compensation at the time of posting. </w:t>
            </w:r>
            <w:r w:rsidRPr="00EF0695">
              <w:rPr>
                <w:rFonts w:ascii="Arial" w:hAnsi="Arial" w:cs="Arial"/>
              </w:rPr>
              <w:t>The salary of the finalist(s) selected for this role will be set based on a variety of factors, including but not limited to, internal equity, experience, education, specialty and training.</w:t>
            </w:r>
          </w:p>
          <w:p w14:paraId="40CA8A55" w14:textId="4BC66931" w:rsidR="0004468A" w:rsidRPr="004B4E86" w:rsidRDefault="00540EAB" w:rsidP="0004468A">
            <w:pPr>
              <w:spacing w:before="100" w:beforeAutospacing="1" w:after="100" w:afterAutospacing="1" w:line="240" w:lineRule="auto"/>
              <w:rPr>
                <w:rFonts w:ascii="Arial" w:hAnsi="Arial" w:cs="Arial"/>
              </w:rPr>
            </w:pPr>
            <w:r w:rsidRPr="009440AA">
              <w:rPr>
                <w:rFonts w:ascii="Arial" w:eastAsia="Times New Roman" w:hAnsi="Arial" w:cs="Arial"/>
              </w:rPr>
              <w:t xml:space="preserve">Your total compensation goes beyond the number on your paycheck. </w:t>
            </w:r>
            <w:r w:rsidRPr="000E615A">
              <w:rPr>
                <w:rFonts w:ascii="Arial" w:hAnsi="Arial" w:cs="Arial"/>
                <w:b/>
                <w:bCs/>
              </w:rPr>
              <w:t>Temporary employees are only eligible for sick leave benefits.</w:t>
            </w:r>
            <w:r w:rsidRPr="00EF0695">
              <w:rPr>
                <w:rFonts w:ascii="Arial" w:hAnsi="Arial" w:cs="Arial"/>
              </w:rPr>
              <w:t xml:space="preserve">  </w:t>
            </w:r>
          </w:p>
          <w:p w14:paraId="64B62C0F" w14:textId="2C6CCDD6" w:rsidR="00BA0D3D" w:rsidRPr="004B4E86" w:rsidRDefault="00BA0D3D" w:rsidP="00ED058E">
            <w:pPr>
              <w:rPr>
                <w:rFonts w:ascii="Arial" w:hAnsi="Arial" w:cs="Arial"/>
              </w:rPr>
            </w:pPr>
          </w:p>
        </w:tc>
      </w:tr>
      <w:tr w:rsidR="00BA0D3D" w14:paraId="515ABAEE" w14:textId="77777777" w:rsidTr="00D40DED">
        <w:tc>
          <w:tcPr>
            <w:tcW w:w="2250" w:type="dxa"/>
          </w:tcPr>
          <w:p w14:paraId="13F69C3D" w14:textId="49E6917E" w:rsidR="00BA0D3D" w:rsidRPr="004B4E86" w:rsidRDefault="00BA0D3D" w:rsidP="00BA0D3D">
            <w:pPr>
              <w:spacing w:line="240" w:lineRule="auto"/>
              <w:rPr>
                <w:rFonts w:ascii="Arial" w:hAnsi="Arial" w:cs="Arial"/>
              </w:rPr>
            </w:pPr>
            <w:r w:rsidRPr="00BE4BB6">
              <w:rPr>
                <w:rFonts w:ascii="Arial" w:eastAsia="Times New Roman" w:hAnsi="Arial" w:cs="Arial"/>
                <w:b/>
                <w:bCs/>
                <w:sz w:val="24"/>
                <w:szCs w:val="24"/>
              </w:rPr>
              <w:t>ADA Statement:</w:t>
            </w:r>
          </w:p>
        </w:tc>
        <w:tc>
          <w:tcPr>
            <w:tcW w:w="8460" w:type="dxa"/>
            <w:gridSpan w:val="2"/>
            <w:tcMar>
              <w:left w:w="144" w:type="dxa"/>
            </w:tcMar>
          </w:tcPr>
          <w:p w14:paraId="76D480B6" w14:textId="2144E01D" w:rsidR="00BA0D3D" w:rsidRPr="004B4E86" w:rsidRDefault="00BA0D3D" w:rsidP="00BA0D3D">
            <w:pPr>
              <w:spacing w:line="240" w:lineRule="auto"/>
              <w:rPr>
                <w:rFonts w:ascii="Arial" w:hAnsi="Arial" w:cs="Arial"/>
              </w:rPr>
            </w:pPr>
            <w:r w:rsidRPr="00334D4E">
              <w:rPr>
                <w:rFonts w:ascii="Arial" w:eastAsia="Times New Roman" w:hAnsi="Arial" w:cs="Arial"/>
              </w:rPr>
              <w:t xml:space="preserve">The University will provide reasonable accommodations to applicants with disabilities throughout the employment application process. To request an accommodation </w:t>
            </w:r>
            <w:r w:rsidRPr="00334D4E">
              <w:rPr>
                <w:rFonts w:ascii="Arial" w:eastAsia="Times New Roman" w:hAnsi="Arial" w:cs="Arial"/>
              </w:rPr>
              <w:lastRenderedPageBreak/>
              <w:t xml:space="preserve">pursuant to the Americans with Disabilities Act, please contact the Human Resources ADA Coordinator at </w:t>
            </w:r>
            <w:hyperlink r:id="rId9"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BA0D3D" w14:paraId="1E6FF646" w14:textId="77777777" w:rsidTr="00D40DED">
        <w:tc>
          <w:tcPr>
            <w:tcW w:w="2250" w:type="dxa"/>
          </w:tcPr>
          <w:p w14:paraId="20C21D32" w14:textId="338E77CE" w:rsidR="00BA0D3D" w:rsidRPr="004B4E86" w:rsidRDefault="00BA0D3D" w:rsidP="00BA0D3D">
            <w:pPr>
              <w:spacing w:line="240" w:lineRule="auto"/>
              <w:rPr>
                <w:rFonts w:ascii="Arial" w:hAnsi="Arial" w:cs="Arial"/>
              </w:rPr>
            </w:pPr>
            <w:r w:rsidRPr="00201AD0">
              <w:rPr>
                <w:rFonts w:ascii="Arial" w:eastAsia="Times New Roman" w:hAnsi="Arial" w:cs="Arial"/>
                <w:b/>
                <w:bCs/>
                <w:sz w:val="24"/>
                <w:szCs w:val="24"/>
              </w:rPr>
              <w:lastRenderedPageBreak/>
              <w:t>Background Check Statement:</w:t>
            </w:r>
          </w:p>
        </w:tc>
        <w:tc>
          <w:tcPr>
            <w:tcW w:w="8460" w:type="dxa"/>
            <w:gridSpan w:val="2"/>
            <w:tcMar>
              <w:left w:w="144" w:type="dxa"/>
            </w:tcMar>
          </w:tcPr>
          <w:p w14:paraId="51E6CDBF" w14:textId="0915D315" w:rsidR="00BA0D3D" w:rsidRPr="004B4E86" w:rsidRDefault="00BA0D3D" w:rsidP="00BA0D3D">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BA0D3D" w14:paraId="35554947" w14:textId="77777777" w:rsidTr="00D40DED">
        <w:tc>
          <w:tcPr>
            <w:tcW w:w="2250" w:type="dxa"/>
          </w:tcPr>
          <w:p w14:paraId="36C4BBCD" w14:textId="0E2A0D06" w:rsidR="00BA0D3D" w:rsidRPr="00201AD0" w:rsidRDefault="00BA0D3D" w:rsidP="00BA0D3D">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460" w:type="dxa"/>
            <w:gridSpan w:val="2"/>
            <w:tcMar>
              <w:left w:w="144" w:type="dxa"/>
            </w:tcMar>
          </w:tcPr>
          <w:p w14:paraId="1BA472AD" w14:textId="77777777" w:rsidR="00BA0D3D" w:rsidRPr="00E30391" w:rsidRDefault="00BA0D3D" w:rsidP="00BA0D3D">
            <w:pPr>
              <w:rPr>
                <w:rFonts w:ascii="Arial" w:hAnsi="Arial" w:cs="Arial"/>
                <w:color w:val="000000"/>
              </w:rPr>
            </w:pPr>
            <w:r w:rsidRPr="00E30391">
              <w:rPr>
                <w:rStyle w:val="xxxcontentpasted2"/>
                <w:rFonts w:ascii="Arial" w:hAnsi="Arial" w:cs="Arial"/>
                <w:color w:val="242424"/>
                <w:shd w:val="clear" w:color="auto" w:fill="FFFFFF"/>
              </w:rPr>
              <w:t>CU Anschutz strongly encourages vaccination against the COVID-19 virus and other </w:t>
            </w:r>
            <w:hyperlink r:id="rId10" w:tooltip="https://www.cdc.gov/vaccines/schedules/downloads/adult/adult-combined-schedule.pdf" w:history="1">
              <w:r w:rsidRPr="00E30391">
                <w:rPr>
                  <w:rStyle w:val="Hyperlink"/>
                  <w:rFonts w:ascii="Arial" w:hAnsi="Arial" w:cs="Arial"/>
                  <w:shd w:val="clear" w:color="auto" w:fill="FFFFFF"/>
                </w:rPr>
                <w:t>vaccine preventable diseases</w:t>
              </w:r>
            </w:hyperlink>
            <w:r w:rsidRPr="00E30391">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E30391">
              <w:rPr>
                <w:rStyle w:val="xcontentpasted0"/>
                <w:rFonts w:ascii="Arial" w:hAnsi="Arial" w:cs="Arial"/>
                <w:color w:val="242424"/>
                <w:shd w:val="clear" w:color="auto" w:fill="FFFFFF"/>
              </w:rPr>
              <w:t> </w:t>
            </w:r>
            <w:hyperlink r:id="rId11" w:tooltip="https://research.cuanschutz.edu/ehs/home/divisions/occupational-health/oh-enrollment" w:history="1">
              <w:r w:rsidRPr="00E30391">
                <w:rPr>
                  <w:rStyle w:val="Hyperlink"/>
                  <w:rFonts w:ascii="Arial" w:hAnsi="Arial" w:cs="Arial"/>
                  <w:shd w:val="clear" w:color="auto" w:fill="FFFFFF"/>
                </w:rPr>
                <w:t>occupational health medical surveillance program</w:t>
              </w:r>
            </w:hyperlink>
            <w:r w:rsidRPr="00E30391">
              <w:rPr>
                <w:rStyle w:val="xxxcontentpasted2"/>
                <w:rFonts w:ascii="Arial" w:hAnsi="Arial" w:cs="Arial"/>
                <w:color w:val="242424"/>
                <w:shd w:val="clear" w:color="auto" w:fill="FFFFFF"/>
              </w:rPr>
              <w:t>. </w:t>
            </w:r>
          </w:p>
          <w:p w14:paraId="2EEE1F1E" w14:textId="77777777" w:rsidR="00BA0D3D" w:rsidRDefault="00BA0D3D" w:rsidP="00BA0D3D">
            <w:pPr>
              <w:rPr>
                <w:rFonts w:ascii="Arial" w:hAnsi="Arial" w:cs="Arial"/>
              </w:rPr>
            </w:pPr>
          </w:p>
          <w:p w14:paraId="22FBB5B8" w14:textId="2D7709B8" w:rsidR="00BA0D3D" w:rsidRDefault="00BA0D3D" w:rsidP="00BA0D3D">
            <w:pPr>
              <w:rPr>
                <w:rFonts w:ascii="Arial" w:hAnsi="Arial" w:cs="Arial"/>
              </w:rPr>
            </w:pPr>
          </w:p>
          <w:p w14:paraId="4ABCA252" w14:textId="77777777" w:rsidR="00BA0D3D" w:rsidRPr="0090256F" w:rsidRDefault="00BA0D3D" w:rsidP="00BA0D3D">
            <w:pPr>
              <w:rPr>
                <w:rFonts w:ascii="Arial" w:hAnsi="Arial" w:cs="Arial"/>
              </w:rPr>
            </w:pPr>
          </w:p>
          <w:p w14:paraId="346582BD" w14:textId="77777777" w:rsidR="00BA0D3D" w:rsidRPr="00334D4E" w:rsidRDefault="00BA0D3D" w:rsidP="00BA0D3D">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540EAB"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4FDE2B38" w:rsidR="00540EAB" w:rsidRPr="003F6834" w:rsidRDefault="00540EAB"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hideMark/>
          </w:tcPr>
          <w:p w14:paraId="55986B8C" w14:textId="192CDAF0" w:rsidR="00540EAB" w:rsidRPr="003F6834" w:rsidRDefault="00540EAB" w:rsidP="003F6834">
            <w:pPr>
              <w:pStyle w:val="ListParagraph"/>
              <w:numPr>
                <w:ilvl w:val="0"/>
                <w:numId w:val="17"/>
              </w:numPr>
              <w:ind w:left="0"/>
              <w:contextualSpacing/>
              <w:rPr>
                <w:rFonts w:ascii="Arial" w:hAnsi="Arial" w:cs="Arial"/>
                <w:sz w:val="21"/>
                <w:szCs w:val="21"/>
              </w:rPr>
            </w:pPr>
          </w:p>
        </w:tc>
      </w:tr>
    </w:tbl>
    <w:p w14:paraId="7E538ABF" w14:textId="77777777" w:rsidR="003F6834" w:rsidRPr="003F6834" w:rsidRDefault="003F6834" w:rsidP="003F6834">
      <w:pPr>
        <w:rPr>
          <w:rFonts w:ascii="Arial" w:hAnsi="Arial" w:cs="Arial"/>
          <w:sz w:val="21"/>
          <w:szCs w:val="21"/>
        </w:rPr>
      </w:pPr>
    </w:p>
    <w:p w14:paraId="65FEBA05" w14:textId="536C3DFD"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r w:rsidR="00521FC2">
        <w:rPr>
          <w:rFonts w:ascii="Arial" w:hAnsi="Arial" w:cs="Arial"/>
          <w:b/>
          <w:color w:val="FF0000"/>
          <w:sz w:val="21"/>
          <w:szCs w:val="21"/>
          <w:u w:val="single"/>
        </w:rPr>
        <w:t xml:space="preserve">  There must be at least two search committee members on all requisitions.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2"/>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C136E" w14:textId="77777777" w:rsidR="00CD564E" w:rsidRDefault="00CD564E">
      <w:pPr>
        <w:spacing w:after="0" w:line="240" w:lineRule="auto"/>
      </w:pPr>
      <w:r>
        <w:separator/>
      </w:r>
    </w:p>
  </w:endnote>
  <w:endnote w:type="continuationSeparator" w:id="0">
    <w:p w14:paraId="7A2B963B" w14:textId="77777777" w:rsidR="00CD564E" w:rsidRDefault="00CD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354F" w14:textId="77777777" w:rsidR="00CD564E" w:rsidRDefault="00CD564E">
      <w:pPr>
        <w:spacing w:after="0" w:line="240" w:lineRule="auto"/>
      </w:pPr>
      <w:r>
        <w:separator/>
      </w:r>
    </w:p>
  </w:footnote>
  <w:footnote w:type="continuationSeparator" w:id="0">
    <w:p w14:paraId="499C958B" w14:textId="77777777" w:rsidR="00CD564E" w:rsidRDefault="00CD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6"/>
  </w:num>
  <w:num w:numId="4" w16cid:durableId="1403215529">
    <w:abstractNumId w:val="9"/>
  </w:num>
  <w:num w:numId="5" w16cid:durableId="1996520577">
    <w:abstractNumId w:val="11"/>
  </w:num>
  <w:num w:numId="6" w16cid:durableId="646203329">
    <w:abstractNumId w:val="6"/>
  </w:num>
  <w:num w:numId="7" w16cid:durableId="1837501994">
    <w:abstractNumId w:val="3"/>
  </w:num>
  <w:num w:numId="8" w16cid:durableId="1558929711">
    <w:abstractNumId w:val="1"/>
  </w:num>
  <w:num w:numId="9" w16cid:durableId="893732190">
    <w:abstractNumId w:val="13"/>
  </w:num>
  <w:num w:numId="10" w16cid:durableId="359668036">
    <w:abstractNumId w:val="5"/>
  </w:num>
  <w:num w:numId="11" w16cid:durableId="1914268535">
    <w:abstractNumId w:val="14"/>
  </w:num>
  <w:num w:numId="12" w16cid:durableId="1703164682">
    <w:abstractNumId w:val="8"/>
  </w:num>
  <w:num w:numId="13" w16cid:durableId="488181254">
    <w:abstractNumId w:val="2"/>
  </w:num>
  <w:num w:numId="14" w16cid:durableId="271598618">
    <w:abstractNumId w:val="10"/>
  </w:num>
  <w:num w:numId="15" w16cid:durableId="775758545">
    <w:abstractNumId w:val="12"/>
  </w:num>
  <w:num w:numId="16" w16cid:durableId="315691745">
    <w:abstractNumId w:val="15"/>
  </w:num>
  <w:num w:numId="17" w16cid:durableId="117965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4468A"/>
    <w:rsid w:val="00055E67"/>
    <w:rsid w:val="00082190"/>
    <w:rsid w:val="00090BFC"/>
    <w:rsid w:val="000B497F"/>
    <w:rsid w:val="000C715E"/>
    <w:rsid w:val="000C728B"/>
    <w:rsid w:val="000D45BA"/>
    <w:rsid w:val="000E328A"/>
    <w:rsid w:val="000E52F8"/>
    <w:rsid w:val="000F5D37"/>
    <w:rsid w:val="00100EE1"/>
    <w:rsid w:val="00101557"/>
    <w:rsid w:val="00101B43"/>
    <w:rsid w:val="00125D4F"/>
    <w:rsid w:val="00146B01"/>
    <w:rsid w:val="00173E79"/>
    <w:rsid w:val="00194D20"/>
    <w:rsid w:val="001D314E"/>
    <w:rsid w:val="002011C3"/>
    <w:rsid w:val="00262FB2"/>
    <w:rsid w:val="002860C0"/>
    <w:rsid w:val="002A3F64"/>
    <w:rsid w:val="00300535"/>
    <w:rsid w:val="00310E91"/>
    <w:rsid w:val="00327A2D"/>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7E87"/>
    <w:rsid w:val="004574CC"/>
    <w:rsid w:val="0049452C"/>
    <w:rsid w:val="0049591D"/>
    <w:rsid w:val="004B4E86"/>
    <w:rsid w:val="004E7943"/>
    <w:rsid w:val="005057A0"/>
    <w:rsid w:val="00514428"/>
    <w:rsid w:val="00514D58"/>
    <w:rsid w:val="00521FC2"/>
    <w:rsid w:val="00527247"/>
    <w:rsid w:val="00540EAB"/>
    <w:rsid w:val="00545E73"/>
    <w:rsid w:val="00560051"/>
    <w:rsid w:val="005707E5"/>
    <w:rsid w:val="00583CEC"/>
    <w:rsid w:val="005877D6"/>
    <w:rsid w:val="00595853"/>
    <w:rsid w:val="00595EC1"/>
    <w:rsid w:val="005A5CA0"/>
    <w:rsid w:val="005F74E8"/>
    <w:rsid w:val="00613391"/>
    <w:rsid w:val="00621C55"/>
    <w:rsid w:val="00627034"/>
    <w:rsid w:val="0065382E"/>
    <w:rsid w:val="006A1918"/>
    <w:rsid w:val="006C752D"/>
    <w:rsid w:val="006D20D9"/>
    <w:rsid w:val="006F4B0D"/>
    <w:rsid w:val="0076577E"/>
    <w:rsid w:val="007A0F6B"/>
    <w:rsid w:val="007B0386"/>
    <w:rsid w:val="007B1F66"/>
    <w:rsid w:val="007B454C"/>
    <w:rsid w:val="007B7992"/>
    <w:rsid w:val="007E2393"/>
    <w:rsid w:val="007E7A26"/>
    <w:rsid w:val="007F247E"/>
    <w:rsid w:val="008359F7"/>
    <w:rsid w:val="0084022D"/>
    <w:rsid w:val="00851C4A"/>
    <w:rsid w:val="00882BBB"/>
    <w:rsid w:val="008B0862"/>
    <w:rsid w:val="008D40B3"/>
    <w:rsid w:val="008D7221"/>
    <w:rsid w:val="008F4352"/>
    <w:rsid w:val="008F4E66"/>
    <w:rsid w:val="008F516F"/>
    <w:rsid w:val="00903A37"/>
    <w:rsid w:val="00906215"/>
    <w:rsid w:val="009376E3"/>
    <w:rsid w:val="009624FF"/>
    <w:rsid w:val="00963135"/>
    <w:rsid w:val="00967039"/>
    <w:rsid w:val="00972E97"/>
    <w:rsid w:val="00994093"/>
    <w:rsid w:val="009B3195"/>
    <w:rsid w:val="009B75C8"/>
    <w:rsid w:val="009F32F7"/>
    <w:rsid w:val="00A05128"/>
    <w:rsid w:val="00A068CC"/>
    <w:rsid w:val="00A35364"/>
    <w:rsid w:val="00A40F05"/>
    <w:rsid w:val="00A507DD"/>
    <w:rsid w:val="00AA6F1A"/>
    <w:rsid w:val="00AD6374"/>
    <w:rsid w:val="00B01C03"/>
    <w:rsid w:val="00B27000"/>
    <w:rsid w:val="00B53A4B"/>
    <w:rsid w:val="00B63DCE"/>
    <w:rsid w:val="00B776D9"/>
    <w:rsid w:val="00B9451F"/>
    <w:rsid w:val="00BA0D3D"/>
    <w:rsid w:val="00BA1D10"/>
    <w:rsid w:val="00C52600"/>
    <w:rsid w:val="00C82005"/>
    <w:rsid w:val="00C83CC2"/>
    <w:rsid w:val="00C8758F"/>
    <w:rsid w:val="00C94A5B"/>
    <w:rsid w:val="00CD2A4F"/>
    <w:rsid w:val="00CD564E"/>
    <w:rsid w:val="00CE5C96"/>
    <w:rsid w:val="00D01777"/>
    <w:rsid w:val="00D039CC"/>
    <w:rsid w:val="00D2765B"/>
    <w:rsid w:val="00D37C32"/>
    <w:rsid w:val="00D37DAC"/>
    <w:rsid w:val="00D40DED"/>
    <w:rsid w:val="00D414F3"/>
    <w:rsid w:val="00DA7CB3"/>
    <w:rsid w:val="00DD1E36"/>
    <w:rsid w:val="00DF2B9C"/>
    <w:rsid w:val="00E073C8"/>
    <w:rsid w:val="00E30391"/>
    <w:rsid w:val="00E35BFB"/>
    <w:rsid w:val="00E45C21"/>
    <w:rsid w:val="00E73C43"/>
    <w:rsid w:val="00E75EA8"/>
    <w:rsid w:val="00EA4A5B"/>
    <w:rsid w:val="00EB0377"/>
    <w:rsid w:val="00ED058E"/>
    <w:rsid w:val="00EE4E2F"/>
    <w:rsid w:val="00F10C31"/>
    <w:rsid w:val="00F10FFC"/>
    <w:rsid w:val="00F310A4"/>
    <w:rsid w:val="00F52485"/>
    <w:rsid w:val="00F66644"/>
    <w:rsid w:val="00F82F28"/>
    <w:rsid w:val="00F911EA"/>
    <w:rsid w:val="00FB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 w:id="201530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edu/cu-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uanschutz.edu/ehs/home/divisions/occupational-health/oh-enrollment" TargetMode="External"/><Relationship Id="rId5" Type="http://schemas.openxmlformats.org/officeDocument/2006/relationships/webSettings" Target="webSettings.xml"/><Relationship Id="rId10" Type="http://schemas.openxmlformats.org/officeDocument/2006/relationships/hyperlink" Target="https://www.cdc.gov/vaccines/schedules/downloads/adult/adult-combined-schedule.pdf" TargetMode="External"/><Relationship Id="rId4" Type="http://schemas.openxmlformats.org/officeDocument/2006/relationships/settings" Target="settings.xml"/><Relationship Id="rId9" Type="http://schemas.openxmlformats.org/officeDocument/2006/relationships/hyperlink" Target="mailto:hr.adacoordinator@ucdenver.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Vickers, Valerie</cp:lastModifiedBy>
  <cp:revision>33</cp:revision>
  <dcterms:created xsi:type="dcterms:W3CDTF">2023-08-28T21:58:00Z</dcterms:created>
  <dcterms:modified xsi:type="dcterms:W3CDTF">2025-02-06T16:15:00Z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